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default"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省纪委监委公开曝光5起违反中央八项规定精神</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default"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问题典型案例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2023年中秋、国庆将至，为进一步落实中央八项规定精神，持之以恒纠治“四风”，不断释放一抓到底、一刻不松的强烈信号，近日，省纪委监委公开通报曝光5起违反中央八项规定精神典型案例，具体如下。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1. 山西省发展和改革委员会原党组书记、主任李晋平违规收受礼品礼金、违规接受宴请问题。2013年至2022年，李晋平多次违规收受多名管理服务对象礼品礼金，折合共计86万余元。2013年至2021年，李晋平多次违规接受管理服务对象安排的宴请活动。此外，李晋平还存在其他严重违纪违法问题。2023年5月，李晋平受到开除党籍、开除公职处分，其涉嫌犯罪问题被移送检察机关依法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2. 山西大地环境投资控股有限公司原党委书记、董事长屈忠让违规收受礼品礼金、违规接受旅游活动安排问题。2013年至2022年，屈忠让借逢年过节、婚丧嫁娶之机，多次违规收受多名管理服务对象礼品礼金，折合共计30万余元。2020年8月、2022年7月，屈忠让违规安排管理服务对象马某支付其与妻子、岳父母等人赴右玉县旅游期间产生的费用。此外，屈忠让还存在其他严重违纪违法问题。2023年6月，屈忠让受到开除党籍、开除公职处分，其涉嫌犯罪问题被移送检察机关依法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3. 山西省工业和信息化厅原党组成员兼省小企业发展促进局原党组书记、局长薛江炤违规收受礼金、违规借用管理服务对象车辆问题。2014年至2022年，薛江炤借逢年过节之机，多次违规收受多名管理服务对象礼金、消费卡，共计28万余元。2018年上半年至2022年上半年，薛江炤长期无偿借用管理服务对象1台车辆供其个人使用。此外，薛江炤还存在其他严重违纪违法问题。2023年5月，薛江炤受到开除党籍、开除公职处分，其涉嫌犯罪问题被移送检察机关依法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4. 运城市人民政府原党组成员、副市长杨彦康违规收受礼品礼金、违规使用管理服务对象房屋、违规接受旅游活动安排问题。2013年至2023年，杨彦康借逢年过节、婚丧嫁娶之机，多次违规收受多名管理服务对象礼品礼金，折合共计93万余元。2018年至案发时，杨彦康长期无偿借用管理服务对象文某某在三亚的1套住房供其亲属使用。2017年12月至2019年5月，杨彦康违规安排管理服务对象段某某支付其与妻子赴三亚、西双版纳等地旅游期间产生的费用。此外，杨彦康还存在其他严重违纪违法问题。2023年7月，杨彦康受到开除党籍、开除公职处分，其涉嫌犯罪问题被移送检察机关依法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5. 山西省国有资本运营有限公司、万家寨水务控股集团有限公司原专职外部董事曹煜违规收受礼品、违规借用管理服务对象车辆问题。2013年至2022年，曹煜多次违规收受多名管理服务对象赠送的高档酒水、超市购物卡等礼品卡券，折合共计7万余元。2017年11月至2020年7月，曹煜长期无偿借用管理服务对象1台车辆供其女儿使用。此外，曹煜还存在其他严重违纪违法问题。2023年8月，曹煜受到开除党籍、开除公职处分，其涉嫌犯罪问题被移送检察机关依法审查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上述5起典型案例，反映出“四风”问题具有顽固性、反复性，在持续正风肃纪高压态势下，少数党员领导干部仍不收敛、不收手，必须坚持露头就打、常抓不懈。全省广大党员干部要以案为鉴、汲取教训，深刻领会习近平总书记关于“三个务必”重要论述精神，全面对照检视，自觉筑牢拒腐防变防线。全省各级党组织要进一步提高政治站位，严格落实全面从严治党主体责任，加强对党员干部的全方位管理和经常性监督，切实管到关键处、管住关键事、管在关键时，持续加固中央八项规定精神堤坝；各级党组织“一把手”要切实履行第一责任人职责，其他班子成员要认真履行“一岗双责”，努力做到抓在平时、严在日常。各级纪检监察机关要切实履行监督责任，把握地区性、行业性、阶段性特点，抓住普遍发生、反复出现的问题深化整治。要坚持不敢腐、不能腐、不想腐一体推进，惩治震慑、制度约束、提高觉悟一体发力，做实做细教育提醒、监督检查、督促整改等工作，坚决防止“四风”问题反弹回潮，以有力有效的举措确保节日期间风清气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0" w:name="_GoBack"/>
      <w:bookmarkEnd w:id="0"/>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省纪委监委发布中秋节、国庆节期间举报方式。来信请寄：山西省纪委监委信访室（邮编030021），举报电话：0351-12388，网上举报：http://shanxi.12388.gov.cn/。同时，可在微信手机客户端搜索“清廉山西”公众号，选择关注后，通过“我要举报”专栏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来源：山西省纪委监委网站  2023-09-20</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中央纪委国家监委公开通报七起违反</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pPr>
      <w:r>
        <w:rPr>
          <w:rFonts w:hint="eastAsia" w:ascii="方正小标宋_GBK" w:hAnsi="方正公文小标宋" w:eastAsia="方正小标宋_GBK" w:cs="方正公文小标宋"/>
          <w:b/>
          <w:bCs/>
          <w:color w:val="000000" w:themeColor="text1"/>
          <w:sz w:val="36"/>
          <w:szCs w:val="36"/>
          <w:lang w:val="en-US" w:eastAsia="zh-CN"/>
          <w14:textFill>
            <w14:solidFill>
              <w14:schemeClr w14:val="tx1"/>
            </w14:solidFill>
          </w14:textFill>
        </w:rPr>
        <w:t>中央八项规定精神典型问题</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color w:val="000000" w:themeColor="text1"/>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中秋、国庆节假将至，落实中央八项规定精神必须严字当头、毫不松懈。日前，中央纪委国家监委对7起违反中央八项规定精神典型问题进行公开通报。具体如下：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国家发展改革委评估督导司原党支部书记、司长王青云违规收受礼品、礼金，接受可能影响公正执行公务的宴请等问题。2013年至2021年，王青云多次收受管理和服务对象所送高档白酒、书法作品等礼品和消费卡，多次接受管理和服务对象安排的宴请。王青云还存在其他违纪违法问题，受到撤销党内职务、政务撤职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上海期货交易所原党委书记、理事长姜岩违规收受礼品，接受可能影响公正执行公务的宴请，违规发放和领取补贴等问题。2017年至2021年，姜岩多次收受管理和服务对象通过快递寄送的月饼、茶叶等礼品，部分违纪行为发生在中秋节等节日前后；多次接受管理和服务对象在高档酒店、公司内部食堂安排的宴请；违规发放易地调动干部购房补贴，且本人违规领取补贴。姜岩还存在其他违纪违法问题，受到撤销党内职务、政务撤职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中国五矿集团中冶华天工程技术有限公司原党委书记、董事长田野违规公款送礼，提供可能影响公正执行公务的宴请等问题。2019年至2022年，为承揽某项目，田野默许下属向有关单位违规赠送高档白酒价值3万元，提供可能影响公正执行公务的宴请并饮用高档白酒。在多次商务接待中，违规提供和饮用高档白酒。田野还存在其他违纪违法问题，受到撤销党内职务、政务撤职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甘肃省兰州市政协人口资源环境委员会主任、二级巡视员杨盛泉违规借用下属单位车辆，接受可能影响公正执行公务的宴请等问题。2018年至2022年，杨盛泉任兰州市粮食局局长、市政协人口资源环境委员会主任期间，违规借用下属单位公务用车供其上下班使用；2021年五一节前，违规接受管理和服务对象安排的宴请。杨盛泉还存在其他违纪问题，受到党内严重警告、政务记大过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安徽省阜阳市委编办原主任顾中伟、市财政局局长笪乘胜在培训期间接受可能影响公正执行公务的宴请问题。2022年12月，顾中伟、笪乘胜在参加市委党校举办的领导干部学习贯彻党的二十大精神培训班期间，未经批准擅自外出，接受可能影响公正执行公务的宴请，并饮用高档酒水，顾中伟还邀请其他公职人员参加宴请。顾中伟受到党内严重警告处分、调整职务处理，笪乘胜受到党内警告处分，其他人员分别受到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原江苏省淮海剧团党支部书记、团长陈万宏违规公款吃喝、违规公款送礼等问题。2016年至2021年，陈万宏安排下属通过虚开发票、虚增福利费、套取项目资金等方式套取公款，违规购买烟酒共计40.36万元，陈万宏个人使用香烟20条，通过虚增接待人数超标准公务接待，多次在中秋节、春节等节日期间公款购买并向有关单位赠送购物卡、加油卡、提货券等。陈万宏还存在其他违纪违法问题，受到党内严重警告、政务降级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山西省临汾市安泽县人大常委会副主任李软萍举办“乔迁宴”违规收受礼金问题。2022年10月，李软萍举办个人“乔迁宴”，违规收受管理和服务对象等人员礼金5.01万元。李软萍受到党内严重警告处分。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中央纪委国家监委指出，制定实施中央八项规定是我们党在新时代的徙木立信之举，“十年磨一剑”取得显著成效，但顶风违纪现象时有发生，隐形变异行为潜滋暗长，必须始终保持清醒坚定，严抓不放、常抓不懈。上述通报的7起案例，均是因违反中央八项规定精神受到党纪政务处分的问题，是不收敛不收手的典型，责任人员大部分是本单位的“一把手”。严肃查处这些问题，充分彰显了党中央一以贯之从严推动落实中央八项规定精神的坚定意志。各级党组织和领导干部要自觉对标对表，深入落实抓作风建设的政治责任，把严的态度亮出来、严的标准立起来、严的纪律执行起来，以彻底的自我革命精神筑牢中央八项规定堤坝。各级纪检监察机关要将决心下到底，把查处案件摆在更加突出位置，对违反中央八项规定精神行为零容忍，无论职务高低，谁违反了规定就严肃处理谁，对享乐奢靡歪风露头就打，对隐形变异新动向时刻防范，对顶风违纪行为从严查处，不断强化警示震慑。要把握新形势下作风建设的规律特点，紧盯普遍发生、反复出现的作风顽疾，紧盯问题突出、工作薄弱的领域和地区，靶向发力、重点突破。要坚持纠树并举，教育引导党员干部从思想上固本培元，把遵规守纪刻印在心，大兴务实之风，弘扬清廉之风，养成简朴之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中央纪委国家监委强调，节日期间往往是“四风”问题易发多发期，各级纪检监察机关要坚守中秋、国庆节点，迅速行动起来，强化监督执纪，持续净化节日风气。要盯住“节日病”，严肃查处公款吃喝、在隐蔽场所违规接受宴请、违规收送礼品礼金、借操办婚丧喜庆之机敛财、公款旅游、公车私用等节日多发问题，坚决防止“四风”问题反弹。要抓住节日特点，大力纠治高价月饼、蟹卡蟹券、过度包装等问题背后的享乐奢靡现象，抓早抓小、防微杜渐，防止成风成势。要加大监督查处力度，加强监督检查、明察暗访，对节日“四风”问题彻查严处，对典型案例及时通报曝光，持续释放严的强烈信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来源：中央纪委国家监委网站  2023-09-20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both"/>
        <w:textAlignment w:val="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ODVkOTgwOTg4MzgzYTZkYWJjZjM2OWI3YzY4MTgifQ=="/>
  </w:docVars>
  <w:rsids>
    <w:rsidRoot w:val="273056CC"/>
    <w:rsid w:val="273056CC"/>
    <w:rsid w:val="7C0568DA"/>
    <w:rsid w:val="7C25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2023-09-25T07:37:00Z</dcterms:created>
  <dc:creator>王雅娟</dc:creator>
  <cp:lastModifiedBy>王雅娟</cp:lastModifiedBy>
  <cp:lastPrinted>2023-09-25T09:40:04Z</cp:lastPrinted>
  <dcterms:modified xsi:type="dcterms:W3CDTF">2023-09-25T09:40:10Z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1F47A89DAED94E5D999AD6C44AD44F85_11</vt:lpwstr>
  </property>
</Properties>
</file>